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04B" w:rsidRDefault="00AB26BC">
      <w:pPr>
        <w:pStyle w:val="Normal1"/>
        <w:tabs>
          <w:tab w:val="left" w:pos="1220"/>
        </w:tabs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Nota de Prensa </w:t>
      </w:r>
    </w:p>
    <w:p w:rsidR="0008404B" w:rsidRDefault="0008404B">
      <w:pPr>
        <w:pStyle w:val="Normal1"/>
        <w:tabs>
          <w:tab w:val="left" w:pos="1220"/>
        </w:tabs>
        <w:spacing w:line="360" w:lineRule="auto"/>
      </w:pPr>
    </w:p>
    <w:p w:rsidR="0008404B" w:rsidRDefault="00AB26BC">
      <w:pPr>
        <w:pStyle w:val="Normal1"/>
        <w:tabs>
          <w:tab w:val="left" w:pos="1220"/>
        </w:tabs>
        <w:jc w:val="center"/>
      </w:pPr>
      <w:proofErr w:type="spellStart"/>
      <w:r>
        <w:rPr>
          <w:rFonts w:ascii="Arial" w:eastAsia="Arial" w:hAnsi="Arial" w:cs="Arial"/>
          <w:b/>
          <w:sz w:val="36"/>
          <w:szCs w:val="36"/>
        </w:rPr>
        <w:t>Dachser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extiende y fortalece su capacidad de almacenaje en Europa </w:t>
      </w:r>
    </w:p>
    <w:p w:rsidR="0008404B" w:rsidRDefault="0008404B">
      <w:pPr>
        <w:pStyle w:val="Normal1"/>
        <w:tabs>
          <w:tab w:val="left" w:pos="1220"/>
        </w:tabs>
        <w:jc w:val="both"/>
      </w:pPr>
    </w:p>
    <w:p w:rsidR="0008404B" w:rsidRDefault="0008404B">
      <w:pPr>
        <w:pStyle w:val="Normal1"/>
        <w:tabs>
          <w:tab w:val="left" w:pos="1220"/>
        </w:tabs>
        <w:jc w:val="both"/>
      </w:pPr>
    </w:p>
    <w:p w:rsidR="0008404B" w:rsidRDefault="00AB26BC">
      <w:pPr>
        <w:pStyle w:val="Normal1"/>
        <w:numPr>
          <w:ilvl w:val="0"/>
          <w:numId w:val="1"/>
        </w:numPr>
        <w:tabs>
          <w:tab w:val="left" w:pos="1220"/>
        </w:tabs>
        <w:ind w:hanging="36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Los servicios de gestión logística integral en Iberia cuentan con más de 750.000 m2 de superficie de almacenamiento y 350.000 espacios para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palets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</w:p>
    <w:p w:rsidR="0008404B" w:rsidRDefault="00AB26BC">
      <w:pPr>
        <w:pStyle w:val="Normal1"/>
        <w:numPr>
          <w:ilvl w:val="0"/>
          <w:numId w:val="1"/>
        </w:numPr>
        <w:tabs>
          <w:tab w:val="left" w:pos="1220"/>
        </w:tabs>
        <w:ind w:hanging="36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Nuevas instalaciones en Austria, Francia y Alemania en 2016 confirman el óptimo desarrollo de los servicios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Logistics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en Europa.</w:t>
      </w:r>
    </w:p>
    <w:p w:rsidR="0008404B" w:rsidRDefault="0008404B">
      <w:pPr>
        <w:pStyle w:val="Normal1"/>
        <w:tabs>
          <w:tab w:val="left" w:pos="1220"/>
        </w:tabs>
        <w:jc w:val="both"/>
      </w:pPr>
    </w:p>
    <w:p w:rsidR="0008404B" w:rsidRDefault="00AB26BC">
      <w:pPr>
        <w:pStyle w:val="Normal1"/>
        <w:tabs>
          <w:tab w:val="left" w:pos="122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El proveedor logístico afianza su posición como líder en Europa a través de una excelente combinación de servicios de almacenamiento, transporte y de valor añadido, con la apertura de dos nuevos almacenes y la ampliación de otros dos en Austria, Francia y Alemania. Los servicios </w:t>
      </w:r>
      <w:proofErr w:type="spellStart"/>
      <w:r>
        <w:rPr>
          <w:rFonts w:ascii="Arial" w:eastAsia="Arial" w:hAnsi="Arial" w:cs="Arial"/>
          <w:sz w:val="20"/>
          <w:szCs w:val="20"/>
        </w:rPr>
        <w:t>Contract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extienden su superficie de almacenaje disponible en Europa y su capacidad de ofrecer soluciones logísticas integrales. Michael Schilling, </w:t>
      </w:r>
      <w:proofErr w:type="spellStart"/>
      <w:r>
        <w:rPr>
          <w:rFonts w:ascii="Arial" w:eastAsia="Arial" w:hAnsi="Arial" w:cs="Arial"/>
          <w:sz w:val="20"/>
          <w:szCs w:val="20"/>
        </w:rPr>
        <w:t>Chief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Operations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Officer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Road </w:t>
      </w:r>
      <w:proofErr w:type="spellStart"/>
      <w:r>
        <w:rPr>
          <w:rFonts w:ascii="Arial" w:eastAsia="Arial" w:hAnsi="Arial" w:cs="Arial"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ha destacado que “al ofrecer una amplia gama de servicios de </w:t>
      </w:r>
      <w:proofErr w:type="spellStart"/>
      <w:r>
        <w:rPr>
          <w:rFonts w:ascii="Arial" w:eastAsia="Arial" w:hAnsi="Arial" w:cs="Arial"/>
          <w:sz w:val="20"/>
          <w:szCs w:val="20"/>
        </w:rPr>
        <w:t>Contract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sz w:val="20"/>
          <w:szCs w:val="20"/>
        </w:rPr>
        <w:t>, estamos ayudando a nuestros clientes en la gestión de su cadena de suministro global”.</w:t>
      </w:r>
    </w:p>
    <w:p w:rsidR="0008404B" w:rsidRDefault="0008404B">
      <w:pPr>
        <w:pStyle w:val="Normal1"/>
        <w:tabs>
          <w:tab w:val="left" w:pos="1220"/>
        </w:tabs>
        <w:jc w:val="both"/>
      </w:pPr>
    </w:p>
    <w:p w:rsidR="0008404B" w:rsidRDefault="00AB26BC">
      <w:pPr>
        <w:pStyle w:val="Normal1"/>
        <w:tabs>
          <w:tab w:val="left" w:pos="122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En Austria,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invertido cerca de 10 millones de euros en la puesta a punto de un nuevo centro logístico en </w:t>
      </w:r>
      <w:proofErr w:type="spellStart"/>
      <w:r>
        <w:rPr>
          <w:rFonts w:ascii="Arial" w:eastAsia="Arial" w:hAnsi="Arial" w:cs="Arial"/>
          <w:sz w:val="20"/>
          <w:szCs w:val="20"/>
        </w:rPr>
        <w:t>Hörsching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delegación contará con alrededor 10.000 m2 de superficie y capacidad para 20.000 </w:t>
      </w:r>
      <w:proofErr w:type="spellStart"/>
      <w:r>
        <w:rPr>
          <w:rFonts w:ascii="Arial" w:eastAsia="Arial" w:hAnsi="Arial" w:cs="Arial"/>
          <w:sz w:val="20"/>
          <w:szCs w:val="20"/>
        </w:rPr>
        <w:t>palets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el caso de Francia, las ampliaciones de la capacidad de almacenaje en la delegación de </w:t>
      </w:r>
      <w:proofErr w:type="spellStart"/>
      <w:r>
        <w:rPr>
          <w:rFonts w:ascii="Arial" w:eastAsia="Arial" w:hAnsi="Arial" w:cs="Arial"/>
          <w:sz w:val="20"/>
          <w:szCs w:val="20"/>
        </w:rPr>
        <w:t>Salon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Provence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recientemente inaugurada, y el centro de Reims, ponen a disposición de los clientes </w:t>
      </w:r>
      <w:r w:rsidR="001841BD">
        <w:rPr>
          <w:rFonts w:ascii="Arial" w:eastAsia="Arial" w:hAnsi="Arial" w:cs="Arial"/>
          <w:sz w:val="20"/>
          <w:szCs w:val="20"/>
        </w:rPr>
        <w:t xml:space="preserve">espacio para </w:t>
      </w:r>
      <w:r>
        <w:rPr>
          <w:rFonts w:ascii="Arial" w:eastAsia="Arial" w:hAnsi="Arial" w:cs="Arial"/>
          <w:sz w:val="20"/>
          <w:szCs w:val="20"/>
        </w:rPr>
        <w:t xml:space="preserve">un total de más de 41.500 </w:t>
      </w:r>
      <w:proofErr w:type="spellStart"/>
      <w:r>
        <w:rPr>
          <w:rFonts w:ascii="Arial" w:eastAsia="Arial" w:hAnsi="Arial" w:cs="Arial"/>
          <w:sz w:val="20"/>
          <w:szCs w:val="20"/>
        </w:rPr>
        <w:t>palets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Finalmente, en Alemania, la delegación de </w:t>
      </w:r>
      <w:proofErr w:type="spellStart"/>
      <w:r>
        <w:rPr>
          <w:rFonts w:ascii="Arial" w:eastAsia="Arial" w:hAnsi="Arial" w:cs="Arial"/>
          <w:sz w:val="20"/>
          <w:szCs w:val="20"/>
        </w:rPr>
        <w:t>Überherm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sido ampliada con la construcción de un almacén de 11.000 m2 y que iniciará su actividad en octubre de este año. Esta última localización, tiene una doble función en la red de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centro logístico ordinario durante el día y </w:t>
      </w:r>
      <w:proofErr w:type="spellStart"/>
      <w:r>
        <w:rPr>
          <w:rFonts w:ascii="Arial" w:eastAsia="Arial" w:hAnsi="Arial" w:cs="Arial"/>
          <w:sz w:val="20"/>
          <w:szCs w:val="20"/>
        </w:rPr>
        <w:t>Eurohub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la gestión centralizada de las operaciones de grupaje</w:t>
      </w:r>
      <w:r w:rsidR="001841BD">
        <w:rPr>
          <w:rFonts w:ascii="Arial" w:eastAsia="Arial" w:hAnsi="Arial" w:cs="Arial"/>
          <w:sz w:val="20"/>
          <w:szCs w:val="20"/>
        </w:rPr>
        <w:t xml:space="preserve"> en Europa a partir de las 20h</w:t>
      </w:r>
      <w:r>
        <w:rPr>
          <w:rFonts w:ascii="Arial" w:eastAsia="Arial" w:hAnsi="Arial" w:cs="Arial"/>
          <w:sz w:val="20"/>
          <w:szCs w:val="20"/>
        </w:rPr>
        <w:t>. Además, gracias a la cercanía del río Sarre, la compañía combina el transporte terrestre a través de rutas intercontinentales, al tiempo que articula el transporte aéreo y marítimo de mercancías para importación y exportación.</w:t>
      </w:r>
      <w:bookmarkStart w:id="0" w:name="_GoBack"/>
      <w:bookmarkEnd w:id="0"/>
    </w:p>
    <w:p w:rsidR="0008404B" w:rsidRDefault="0008404B">
      <w:pPr>
        <w:pStyle w:val="Normal1"/>
        <w:tabs>
          <w:tab w:val="left" w:pos="1220"/>
        </w:tabs>
        <w:jc w:val="both"/>
      </w:pPr>
    </w:p>
    <w:p w:rsidR="0008404B" w:rsidRDefault="00AB26BC">
      <w:pPr>
        <w:pStyle w:val="Normal1"/>
        <w:tabs>
          <w:tab w:val="left" w:pos="1220"/>
        </w:tabs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¿Qué ofrece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Contract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 Iberia?</w:t>
      </w:r>
    </w:p>
    <w:p w:rsidR="0008404B" w:rsidRDefault="0008404B">
      <w:pPr>
        <w:pStyle w:val="Normal1"/>
        <w:tabs>
          <w:tab w:val="left" w:pos="1220"/>
        </w:tabs>
        <w:jc w:val="both"/>
      </w:pPr>
    </w:p>
    <w:p w:rsidR="0008404B" w:rsidRDefault="00AB26BC">
      <w:pPr>
        <w:pStyle w:val="Normal1"/>
        <w:tabs>
          <w:tab w:val="left" w:pos="122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Los servicios de gestión logística integral y la posibilidad de su externalización para diferentes modelos de negocio son también una realidad muy potente en Iberia. Un total de 14 delegaciones están dedicadas en exclusiva a operativas de </w:t>
      </w:r>
      <w:proofErr w:type="spellStart"/>
      <w:r>
        <w:rPr>
          <w:rFonts w:ascii="Arial" w:eastAsia="Arial" w:hAnsi="Arial" w:cs="Arial"/>
          <w:sz w:val="20"/>
          <w:szCs w:val="20"/>
        </w:rPr>
        <w:t>Contract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con más de 750 000 m2 de superficie de almacenamiento y de 350.000 espacios para </w:t>
      </w:r>
      <w:proofErr w:type="spellStart"/>
      <w:r>
        <w:rPr>
          <w:rFonts w:ascii="Arial" w:eastAsia="Arial" w:hAnsi="Arial" w:cs="Arial"/>
          <w:sz w:val="20"/>
          <w:szCs w:val="20"/>
        </w:rPr>
        <w:t>palets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red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permite además la conexión global entre sus 197 centros dedicados a la gestión logística integral en el mundo con almacenes propios en Europa, Asia, África y América.</w:t>
      </w:r>
    </w:p>
    <w:p w:rsidR="0008404B" w:rsidRDefault="0008404B">
      <w:pPr>
        <w:pStyle w:val="Normal1"/>
        <w:tabs>
          <w:tab w:val="left" w:pos="1220"/>
        </w:tabs>
        <w:jc w:val="both"/>
      </w:pPr>
    </w:p>
    <w:p w:rsidR="0008404B" w:rsidRDefault="00AB26BC">
      <w:pPr>
        <w:pStyle w:val="Normal1"/>
        <w:tabs>
          <w:tab w:val="left" w:pos="122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Los principales puntos fuertes de estas prestaciones son la disponibilidad de unos sistemas de TI totalmente integrados, que permiten la monitorización y seguimiento </w:t>
      </w:r>
      <w:proofErr w:type="spellStart"/>
      <w:r>
        <w:rPr>
          <w:rFonts w:ascii="Arial" w:eastAsia="Arial" w:hAnsi="Arial" w:cs="Arial"/>
          <w:sz w:val="20"/>
          <w:szCs w:val="20"/>
        </w:rPr>
        <w:t>omnicanal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mercancía en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tiempo real, así como el amplio abanico de servicios de valor añadido. Estos últimos permiten a los clientes de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adaptar su gestión logística a las especificidades de su negocio a través de asistencia en empaquetado, etiquetado, controles de calidad  y reparaciones, entre otros servicios.  </w:t>
      </w:r>
    </w:p>
    <w:p w:rsidR="0008404B" w:rsidRDefault="0008404B">
      <w:pPr>
        <w:pStyle w:val="Normal1"/>
        <w:spacing w:after="120" w:line="360" w:lineRule="auto"/>
      </w:pPr>
    </w:p>
    <w:p w:rsidR="0008404B" w:rsidRDefault="00AB26BC">
      <w:pPr>
        <w:pStyle w:val="Normal1"/>
        <w:spacing w:after="120"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Sobre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08404B" w:rsidRDefault="00AB26BC">
      <w:pPr>
        <w:pStyle w:val="Normal1"/>
        <w:spacing w:after="120"/>
        <w:jc w:val="both"/>
      </w:pPr>
      <w:r>
        <w:rPr>
          <w:rFonts w:ascii="Arial" w:eastAsia="Arial" w:hAnsi="Arial" w:cs="Arial"/>
          <w:sz w:val="20"/>
          <w:szCs w:val="20"/>
        </w:rPr>
        <w:t xml:space="preserve">Con una plantilla de unos 26 500 empleados repartidos en 428 ubicaciones de todo el mundo,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alcanzó en 2015 un volumen de negocio de 5.640 millones de euros. El proveedor de servicios logísticos realizó un total de 78,1 millones de envíos y movió 37,3 millones de toneladas. La multinacional alemana está presente en el mercado ibérico a través de Azkar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Group –empresa líder en el transporte terrestre de mercancías– y de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Portugal ASL y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Spain ASL para los servicios de carga aérea y marítima, ofreciendo además todos los servicios de valor añadido vinculados a estas áreas de negocio. En el último año,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registró en Iberia un volumen de negocio de 751 millones de euros, que incluyen las operaciones de </w:t>
      </w:r>
      <w:proofErr w:type="spellStart"/>
      <w:r>
        <w:rPr>
          <w:rFonts w:ascii="Arial" w:eastAsia="Arial" w:hAnsi="Arial" w:cs="Arial"/>
          <w:sz w:val="20"/>
          <w:szCs w:val="20"/>
        </w:rPr>
        <w:t>European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Air &amp; Sea </w:t>
      </w:r>
      <w:proofErr w:type="spellStart"/>
      <w:r>
        <w:rPr>
          <w:rFonts w:ascii="Arial" w:eastAsia="Arial" w:hAnsi="Arial" w:cs="Arial"/>
          <w:sz w:val="20"/>
          <w:szCs w:val="20"/>
        </w:rPr>
        <w:t>Logistics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8404B" w:rsidRDefault="00AB26BC">
      <w:pPr>
        <w:pStyle w:val="Normal1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Puede encontrar más información sobre </w:t>
      </w:r>
      <w:proofErr w:type="spellStart"/>
      <w:r>
        <w:rPr>
          <w:rFonts w:ascii="Arial" w:eastAsia="Arial" w:hAnsi="Arial" w:cs="Arial"/>
          <w:sz w:val="20"/>
          <w:szCs w:val="20"/>
        </w:rPr>
        <w:t>Dachser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www.dachser.com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8404B" w:rsidRDefault="0008404B">
      <w:pPr>
        <w:pStyle w:val="Normal1"/>
        <w:spacing w:after="120"/>
        <w:jc w:val="both"/>
      </w:pPr>
    </w:p>
    <w:p w:rsidR="0008404B" w:rsidRDefault="0008404B">
      <w:pPr>
        <w:pStyle w:val="Normal1"/>
        <w:spacing w:after="120"/>
      </w:pPr>
      <w:bookmarkStart w:id="1" w:name="h.gjdgxs" w:colFirst="0" w:colLast="0"/>
      <w:bookmarkEnd w:id="1"/>
    </w:p>
    <w:p w:rsidR="0008404B" w:rsidRDefault="0008404B">
      <w:pPr>
        <w:pStyle w:val="Normal1"/>
        <w:spacing w:line="276" w:lineRule="auto"/>
      </w:pPr>
    </w:p>
    <w:sectPr w:rsidR="0008404B" w:rsidSect="0008404B">
      <w:headerReference w:type="default" r:id="rId8"/>
      <w:footerReference w:type="default" r:id="rId9"/>
      <w:pgSz w:w="11906" w:h="16838"/>
      <w:pgMar w:top="212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67" w:rsidRDefault="00A03767" w:rsidP="0008404B">
      <w:r>
        <w:separator/>
      </w:r>
    </w:p>
  </w:endnote>
  <w:endnote w:type="continuationSeparator" w:id="0">
    <w:p w:rsidR="00A03767" w:rsidRDefault="00A03767" w:rsidP="0008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4B" w:rsidRDefault="0008404B">
    <w:pPr>
      <w:pStyle w:val="Normal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</w:p>
  <w:p w:rsidR="0008404B" w:rsidRDefault="0008404B">
    <w:pPr>
      <w:pStyle w:val="Normal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</w:p>
  <w:p w:rsidR="0008404B" w:rsidRPr="00C665F9" w:rsidRDefault="00AB26BC">
    <w:pPr>
      <w:pStyle w:val="Normal1"/>
      <w:jc w:val="both"/>
      <w:rPr>
        <w:lang w:val="en-US"/>
      </w:rPr>
    </w:pPr>
    <w:r w:rsidRPr="00C665F9">
      <w:rPr>
        <w:rFonts w:ascii="Helvetica Neue" w:eastAsia="Helvetica Neue" w:hAnsi="Helvetica Neue" w:cs="Helvetica Neue"/>
        <w:b/>
        <w:sz w:val="18"/>
        <w:szCs w:val="18"/>
        <w:lang w:val="en-US"/>
      </w:rPr>
      <w:t>DACHSER SE</w:t>
    </w:r>
  </w:p>
  <w:p w:rsidR="0008404B" w:rsidRPr="00C665F9" w:rsidRDefault="00AB26BC">
    <w:pPr>
      <w:pStyle w:val="Normal1"/>
      <w:jc w:val="both"/>
      <w:rPr>
        <w:lang w:val="en-US"/>
      </w:rPr>
    </w:pPr>
    <w:r w:rsidRPr="00C665F9">
      <w:rPr>
        <w:rFonts w:ascii="Helvetica Neue" w:eastAsia="Helvetica Neue" w:hAnsi="Helvetica Neue" w:cs="Helvetica Neue"/>
        <w:sz w:val="18"/>
        <w:szCs w:val="18"/>
        <w:lang w:val="en-US"/>
      </w:rPr>
      <w:t xml:space="preserve">Corporate Development, Strategy &amp; Public Relations </w:t>
    </w:r>
    <w:r w:rsidRPr="00C665F9">
      <w:rPr>
        <w:rFonts w:ascii="Helvetica Neue" w:eastAsia="Helvetica Neue" w:hAnsi="Helvetica Neue" w:cs="Helvetica Neue"/>
        <w:sz w:val="18"/>
        <w:szCs w:val="18"/>
        <w:lang w:val="en-US"/>
      </w:rPr>
      <w:tab/>
    </w:r>
    <w:r w:rsidRPr="00C665F9">
      <w:rPr>
        <w:rFonts w:ascii="Helvetica Neue" w:eastAsia="Helvetica Neue" w:hAnsi="Helvetica Neue" w:cs="Helvetica Neue"/>
        <w:sz w:val="18"/>
        <w:szCs w:val="18"/>
        <w:lang w:val="en-US"/>
      </w:rPr>
      <w:tab/>
      <w:t>Tel.:</w:t>
    </w:r>
    <w:r w:rsidRPr="00C665F9">
      <w:rPr>
        <w:rFonts w:ascii="Helvetica Neue" w:eastAsia="Helvetica Neue" w:hAnsi="Helvetica Neue" w:cs="Helvetica Neue"/>
        <w:sz w:val="18"/>
        <w:szCs w:val="18"/>
        <w:lang w:val="en-US"/>
      </w:rPr>
      <w:tab/>
      <w:t>+49 (0) 831 5916-1421</w:t>
    </w:r>
  </w:p>
  <w:p w:rsidR="0008404B" w:rsidRDefault="00AB26BC">
    <w:pPr>
      <w:pStyle w:val="Normal1"/>
      <w:jc w:val="both"/>
    </w:pPr>
    <w:proofErr w:type="spellStart"/>
    <w:r>
      <w:rPr>
        <w:rFonts w:ascii="Helvetica Neue" w:eastAsia="Helvetica Neue" w:hAnsi="Helvetica Neue" w:cs="Helvetica Neue"/>
        <w:sz w:val="18"/>
        <w:szCs w:val="18"/>
      </w:rPr>
      <w:t>Theresia</w:t>
    </w:r>
    <w:proofErr w:type="spellEnd"/>
    <w:r>
      <w:rPr>
        <w:rFonts w:ascii="Helvetica Neue" w:eastAsia="Helvetica Neue" w:hAnsi="Helvetica Neue" w:cs="Helvetica Neue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sz w:val="18"/>
        <w:szCs w:val="18"/>
      </w:rPr>
      <w:t>Gläser</w:t>
    </w:r>
    <w:proofErr w:type="spellEnd"/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  <w:t>Fax:</w:t>
    </w:r>
    <w:r>
      <w:rPr>
        <w:rFonts w:ascii="Helvetica Neue" w:eastAsia="Helvetica Neue" w:hAnsi="Helvetica Neue" w:cs="Helvetica Neue"/>
        <w:sz w:val="18"/>
        <w:szCs w:val="18"/>
      </w:rPr>
      <w:tab/>
      <w:t>+49 (0) 831 5916-8-1421</w:t>
    </w:r>
  </w:p>
  <w:p w:rsidR="0008404B" w:rsidRDefault="00AB26BC">
    <w:pPr>
      <w:pStyle w:val="Normal1"/>
      <w:jc w:val="both"/>
    </w:pPr>
    <w:r>
      <w:rPr>
        <w:rFonts w:ascii="Helvetica Neue" w:eastAsia="Helvetica Neue" w:hAnsi="Helvetica Neue" w:cs="Helvetica Neue"/>
        <w:sz w:val="18"/>
        <w:szCs w:val="18"/>
      </w:rPr>
      <w:t>Thomas-</w:t>
    </w:r>
    <w:proofErr w:type="spellStart"/>
    <w:r>
      <w:rPr>
        <w:rFonts w:ascii="Helvetica Neue" w:eastAsia="Helvetica Neue" w:hAnsi="Helvetica Neue" w:cs="Helvetica Neue"/>
        <w:sz w:val="18"/>
        <w:szCs w:val="18"/>
      </w:rPr>
      <w:t>Dachser</w:t>
    </w:r>
    <w:proofErr w:type="spellEnd"/>
    <w:r>
      <w:rPr>
        <w:rFonts w:ascii="Helvetica Neue" w:eastAsia="Helvetica Neue" w:hAnsi="Helvetica Neue" w:cs="Helvetica Neue"/>
        <w:sz w:val="18"/>
        <w:szCs w:val="18"/>
      </w:rPr>
      <w:t>-</w:t>
    </w:r>
    <w:proofErr w:type="spellStart"/>
    <w:r>
      <w:rPr>
        <w:rFonts w:ascii="Helvetica Neue" w:eastAsia="Helvetica Neue" w:hAnsi="Helvetica Neue" w:cs="Helvetica Neue"/>
        <w:sz w:val="18"/>
        <w:szCs w:val="18"/>
      </w:rPr>
      <w:t>Straße</w:t>
    </w:r>
    <w:proofErr w:type="spellEnd"/>
    <w:r>
      <w:rPr>
        <w:rFonts w:ascii="Helvetica Neue" w:eastAsia="Helvetica Neue" w:hAnsi="Helvetica Neue" w:cs="Helvetica Neue"/>
        <w:sz w:val="18"/>
        <w:szCs w:val="18"/>
      </w:rPr>
      <w:t xml:space="preserve"> 2</w:t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  <w:t>E-Mail:</w:t>
    </w:r>
    <w:r>
      <w:rPr>
        <w:rFonts w:ascii="Helvetica Neue" w:eastAsia="Helvetica Neue" w:hAnsi="Helvetica Neue" w:cs="Helvetica Neue"/>
        <w:sz w:val="18"/>
        <w:szCs w:val="18"/>
      </w:rPr>
      <w:tab/>
      <w:t>theresia.glaeser@dachser.com</w:t>
    </w:r>
  </w:p>
  <w:p w:rsidR="0008404B" w:rsidRDefault="00AB26BC">
    <w:pPr>
      <w:pStyle w:val="Normal1"/>
      <w:jc w:val="both"/>
    </w:pPr>
    <w:r>
      <w:rPr>
        <w:rFonts w:ascii="Helvetica Neue" w:eastAsia="Helvetica Neue" w:hAnsi="Helvetica Neue" w:cs="Helvetica Neue"/>
        <w:sz w:val="18"/>
        <w:szCs w:val="18"/>
      </w:rPr>
      <w:t xml:space="preserve">87439 </w:t>
    </w:r>
    <w:proofErr w:type="spellStart"/>
    <w:r>
      <w:rPr>
        <w:rFonts w:ascii="Helvetica Neue" w:eastAsia="Helvetica Neue" w:hAnsi="Helvetica Neue" w:cs="Helvetica Neue"/>
        <w:sz w:val="18"/>
        <w:szCs w:val="18"/>
      </w:rPr>
      <w:t>Kempten</w:t>
    </w:r>
    <w:proofErr w:type="spellEnd"/>
    <w:r>
      <w:rPr>
        <w:rFonts w:ascii="Helvetica Neue" w:eastAsia="Helvetica Neue" w:hAnsi="Helvetica Neue" w:cs="Helvetica Neue"/>
        <w:sz w:val="18"/>
        <w:szCs w:val="18"/>
      </w:rPr>
      <w:t xml:space="preserve"> </w:t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ab/>
      <w:t>Internet: www.dachser.com</w:t>
    </w:r>
  </w:p>
  <w:p w:rsidR="0008404B" w:rsidRDefault="0008404B">
    <w:pPr>
      <w:pStyle w:val="Normal1"/>
    </w:pPr>
  </w:p>
  <w:p w:rsidR="0008404B" w:rsidRDefault="0008404B">
    <w:pPr>
      <w:pStyle w:val="Normal1"/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67" w:rsidRDefault="00A03767" w:rsidP="0008404B">
      <w:r>
        <w:separator/>
      </w:r>
    </w:p>
  </w:footnote>
  <w:footnote w:type="continuationSeparator" w:id="0">
    <w:p w:rsidR="00A03767" w:rsidRDefault="00A03767" w:rsidP="0008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4B" w:rsidRDefault="00AB26BC">
    <w:pPr>
      <w:pStyle w:val="Normal1"/>
      <w:spacing w:before="708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4196080</wp:posOffset>
          </wp:positionH>
          <wp:positionV relativeFrom="paragraph">
            <wp:posOffset>0</wp:posOffset>
          </wp:positionV>
          <wp:extent cx="1885950" cy="647700"/>
          <wp:effectExtent l="1905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06EF"/>
    <w:multiLevelType w:val="multilevel"/>
    <w:tmpl w:val="BD3A00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4B"/>
    <w:rsid w:val="0008404B"/>
    <w:rsid w:val="001841BD"/>
    <w:rsid w:val="003A2629"/>
    <w:rsid w:val="003C56B5"/>
    <w:rsid w:val="008F1063"/>
    <w:rsid w:val="00A03767"/>
    <w:rsid w:val="00AB26BC"/>
    <w:rsid w:val="00C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29"/>
  </w:style>
  <w:style w:type="paragraph" w:styleId="Ttulo1">
    <w:name w:val="heading 1"/>
    <w:basedOn w:val="Normal1"/>
    <w:next w:val="Normal1"/>
    <w:rsid w:val="0008404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404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8404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404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8404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8404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8404B"/>
  </w:style>
  <w:style w:type="table" w:customStyle="1" w:styleId="TableNormal">
    <w:name w:val="Table Normal"/>
    <w:rsid w:val="00084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404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404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665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65F9"/>
  </w:style>
  <w:style w:type="paragraph" w:styleId="Piedepgina">
    <w:name w:val="footer"/>
    <w:basedOn w:val="Normal"/>
    <w:link w:val="PiedepginaCar"/>
    <w:uiPriority w:val="99"/>
    <w:semiHidden/>
    <w:unhideWhenUsed/>
    <w:rsid w:val="00C665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ch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Rey Navajas</dc:creator>
  <cp:lastModifiedBy>Lluis</cp:lastModifiedBy>
  <cp:revision>2</cp:revision>
  <dcterms:created xsi:type="dcterms:W3CDTF">2016-07-13T06:35:00Z</dcterms:created>
  <dcterms:modified xsi:type="dcterms:W3CDTF">2016-07-13T06:35:00Z</dcterms:modified>
</cp:coreProperties>
</file>